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F1" w:rsidRDefault="006C73F1">
      <w:pPr>
        <w:ind w:firstLine="567"/>
        <w:jc w:val="both"/>
        <w:rPr>
          <w:rFonts w:ascii="Times New Roman" w:eastAsia="Times New Roman" w:hAnsi="Times New Roman" w:cs="Times New Roman"/>
          <w:sz w:val="24"/>
          <w:szCs w:val="24"/>
        </w:rPr>
      </w:pPr>
    </w:p>
    <w:p w:rsidR="00132CC4" w:rsidRPr="00132CC4" w:rsidRDefault="00132CC4" w:rsidP="00132CC4">
      <w:pPr>
        <w:spacing w:after="0" w:line="240" w:lineRule="auto"/>
        <w:ind w:left="6663"/>
        <w:rPr>
          <w:rFonts w:ascii="Times New Roman" w:eastAsia="Times New Roman" w:hAnsi="Times New Roman" w:cs="Times New Roman"/>
          <w:color w:val="000000"/>
          <w:sz w:val="28"/>
          <w:szCs w:val="28"/>
        </w:rPr>
      </w:pPr>
      <w:r w:rsidRPr="00132CC4">
        <w:rPr>
          <w:rFonts w:ascii="Times New Roman" w:eastAsia="Times New Roman" w:hAnsi="Times New Roman" w:cs="Times New Roman"/>
          <w:color w:val="000000"/>
          <w:sz w:val="28"/>
          <w:szCs w:val="28"/>
        </w:rPr>
        <w:t>УТВЕРЖДЕНО</w:t>
      </w:r>
    </w:p>
    <w:p w:rsidR="00132CC4" w:rsidRPr="00132CC4" w:rsidRDefault="00132CC4" w:rsidP="00132CC4">
      <w:pPr>
        <w:spacing w:after="0" w:line="240" w:lineRule="auto"/>
        <w:ind w:left="6663"/>
        <w:rPr>
          <w:rFonts w:ascii="Times New Roman" w:eastAsia="Times New Roman" w:hAnsi="Times New Roman" w:cs="Times New Roman"/>
          <w:color w:val="000000"/>
          <w:sz w:val="28"/>
          <w:szCs w:val="28"/>
        </w:rPr>
      </w:pPr>
      <w:r w:rsidRPr="00132CC4">
        <w:rPr>
          <w:rFonts w:ascii="Times New Roman" w:eastAsia="Times New Roman" w:hAnsi="Times New Roman" w:cs="Times New Roman"/>
          <w:color w:val="000000"/>
          <w:sz w:val="28"/>
          <w:szCs w:val="28"/>
        </w:rPr>
        <w:t>заведующий МБДОУ                                                                                                    "Детский сад № 101."</w:t>
      </w:r>
    </w:p>
    <w:p w:rsidR="006C73F1" w:rsidRDefault="00132CC4" w:rsidP="008A75DA">
      <w:pPr>
        <w:spacing w:after="0" w:line="240" w:lineRule="auto"/>
        <w:ind w:left="6663"/>
        <w:rPr>
          <w:rFonts w:ascii="Times New Roman" w:eastAsia="Times New Roman" w:hAnsi="Times New Roman" w:cs="Times New Roman"/>
          <w:color w:val="000000"/>
          <w:sz w:val="28"/>
          <w:szCs w:val="28"/>
        </w:rPr>
      </w:pPr>
      <w:r w:rsidRPr="00132CC4">
        <w:rPr>
          <w:rFonts w:ascii="Times New Roman" w:eastAsia="Times New Roman" w:hAnsi="Times New Roman" w:cs="Times New Roman"/>
          <w:color w:val="000000"/>
          <w:sz w:val="28"/>
          <w:szCs w:val="28"/>
        </w:rPr>
        <w:t xml:space="preserve">                                                                                                     __________Е.В. Логина                                                приказ № 30 от 10.01.2022г.</w:t>
      </w:r>
    </w:p>
    <w:p w:rsidR="008A75DA" w:rsidRDefault="008A75DA" w:rsidP="008A75DA">
      <w:pPr>
        <w:spacing w:after="0" w:line="240" w:lineRule="auto"/>
        <w:ind w:left="6663"/>
        <w:rPr>
          <w:rFonts w:ascii="Times New Roman" w:eastAsia="Times New Roman" w:hAnsi="Times New Roman" w:cs="Times New Roman"/>
        </w:rPr>
      </w:pPr>
      <w:bookmarkStart w:id="0" w:name="_GoBack"/>
      <w:bookmarkEnd w:id="0"/>
    </w:p>
    <w:p w:rsidR="006C73F1" w:rsidRDefault="006C73F1" w:rsidP="008A75DA">
      <w:pPr>
        <w:spacing w:after="0" w:line="240" w:lineRule="auto"/>
        <w:rPr>
          <w:rFonts w:ascii="Times New Roman" w:eastAsia="Times New Roman" w:hAnsi="Times New Roman" w:cs="Times New Roman"/>
          <w:sz w:val="24"/>
          <w:szCs w:val="24"/>
        </w:rPr>
      </w:pPr>
    </w:p>
    <w:p w:rsidR="006C73F1" w:rsidRDefault="001119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w:t>
      </w:r>
    </w:p>
    <w:p w:rsidR="00494780" w:rsidRDefault="00111987">
      <w:pPr>
        <w:spacing w:after="0" w:line="240" w:lineRule="auto"/>
        <w:jc w:val="center"/>
        <w:rPr>
          <w:rFonts w:ascii="Times New Roman" w:eastAsia="Times New Roman" w:hAnsi="Times New Roman" w:cs="Times New Roman"/>
          <w:b/>
          <w:sz w:val="24"/>
          <w:szCs w:val="24"/>
        </w:rPr>
      </w:pPr>
      <w:r w:rsidRPr="00494780">
        <w:rPr>
          <w:rFonts w:ascii="Times New Roman" w:eastAsia="Times New Roman" w:hAnsi="Times New Roman" w:cs="Times New Roman"/>
          <w:b/>
          <w:sz w:val="24"/>
          <w:szCs w:val="24"/>
        </w:rPr>
        <w:t xml:space="preserve">о контрактном управляющем </w:t>
      </w:r>
      <w:r w:rsidR="00494780" w:rsidRPr="00494780">
        <w:rPr>
          <w:rFonts w:ascii="Times New Roman" w:eastAsia="Times New Roman" w:hAnsi="Times New Roman" w:cs="Times New Roman"/>
          <w:b/>
          <w:sz w:val="24"/>
          <w:szCs w:val="24"/>
        </w:rPr>
        <w:t>в муниципальном бюджетном</w:t>
      </w:r>
      <w:r w:rsidR="00132CC4">
        <w:rPr>
          <w:rFonts w:ascii="Times New Roman" w:eastAsia="Times New Roman" w:hAnsi="Times New Roman" w:cs="Times New Roman"/>
          <w:b/>
          <w:sz w:val="24"/>
          <w:szCs w:val="24"/>
        </w:rPr>
        <w:t xml:space="preserve">                                                     </w:t>
      </w:r>
      <w:r w:rsidR="00494780" w:rsidRPr="00494780">
        <w:rPr>
          <w:rFonts w:ascii="Times New Roman" w:eastAsia="Times New Roman" w:hAnsi="Times New Roman" w:cs="Times New Roman"/>
          <w:b/>
          <w:sz w:val="24"/>
          <w:szCs w:val="24"/>
        </w:rPr>
        <w:t xml:space="preserve"> дошкольном образовательном учреждении «Детский сад № 1</w:t>
      </w:r>
      <w:r w:rsidR="00132CC4">
        <w:rPr>
          <w:rFonts w:ascii="Times New Roman" w:eastAsia="Times New Roman" w:hAnsi="Times New Roman" w:cs="Times New Roman"/>
          <w:b/>
          <w:sz w:val="24"/>
          <w:szCs w:val="24"/>
        </w:rPr>
        <w:t>0</w:t>
      </w:r>
      <w:r w:rsidR="00494780" w:rsidRPr="00494780">
        <w:rPr>
          <w:rFonts w:ascii="Times New Roman" w:eastAsia="Times New Roman" w:hAnsi="Times New Roman" w:cs="Times New Roman"/>
          <w:b/>
          <w:sz w:val="24"/>
          <w:szCs w:val="24"/>
        </w:rPr>
        <w:t xml:space="preserve">1» </w:t>
      </w:r>
    </w:p>
    <w:p w:rsidR="006C73F1" w:rsidRPr="00494780" w:rsidRDefault="00494780">
      <w:pPr>
        <w:spacing w:after="0" w:line="240" w:lineRule="auto"/>
        <w:jc w:val="center"/>
        <w:rPr>
          <w:rFonts w:ascii="Times New Roman" w:eastAsia="Times New Roman" w:hAnsi="Times New Roman" w:cs="Times New Roman"/>
          <w:b/>
          <w:sz w:val="24"/>
          <w:szCs w:val="24"/>
        </w:rPr>
      </w:pPr>
      <w:proofErr w:type="spellStart"/>
      <w:r w:rsidRPr="00494780">
        <w:rPr>
          <w:rFonts w:ascii="Times New Roman" w:eastAsia="Times New Roman" w:hAnsi="Times New Roman" w:cs="Times New Roman"/>
          <w:b/>
          <w:sz w:val="24"/>
          <w:szCs w:val="24"/>
        </w:rPr>
        <w:t>г.Уссурийска</w:t>
      </w:r>
      <w:proofErr w:type="spellEnd"/>
      <w:r w:rsidRPr="00494780">
        <w:rPr>
          <w:rFonts w:ascii="Times New Roman" w:eastAsia="Times New Roman" w:hAnsi="Times New Roman" w:cs="Times New Roman"/>
          <w:b/>
          <w:sz w:val="24"/>
          <w:szCs w:val="24"/>
        </w:rPr>
        <w:t xml:space="preserve"> Уссурийского городского округа</w:t>
      </w:r>
    </w:p>
    <w:p w:rsidR="006C73F1" w:rsidRDefault="006C73F1">
      <w:pPr>
        <w:spacing w:after="0" w:line="240" w:lineRule="auto"/>
        <w:jc w:val="center"/>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Настоящее Положение о контрактном управляющем (далее - Положение) устанавливает правила организации деятельности контрактного управляющего 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и </w:t>
      </w:r>
      <w:r w:rsidRPr="003C1763">
        <w:rPr>
          <w:rFonts w:ascii="Times New Roman" w:eastAsia="Times New Roman" w:hAnsi="Times New Roman" w:cs="Times New Roman"/>
          <w:sz w:val="24"/>
          <w:szCs w:val="24"/>
        </w:rPr>
        <w:t>Приморского края</w:t>
      </w:r>
      <w:r>
        <w:rPr>
          <w:rFonts w:ascii="Times New Roman" w:eastAsia="Times New Roman" w:hAnsi="Times New Roman" w:cs="Times New Roman"/>
          <w:sz w:val="24"/>
          <w:szCs w:val="24"/>
        </w:rPr>
        <w:t>,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профессиональным стандартом «Специалист в сфере закупок», локальными актами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Контрактный управляющий осуществляет свою деятельность во взаимодействии с другими подразделениями (службами)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Основными принципами деятельности контрактного управляющего при планировании и осуществлении закупок являются: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регулярное повышение теоретических и практических знаний и навыков в сфере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заключение контрактов на условиях, обеспечивающих наиболее эффективное достижение заданных результатов обеспечения нужд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достижение Заказчиком заданных результатов обеспечения нужд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контрактный управляющий должен иметь высшее образование или дополнительное профессиональное образование в сфере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персональная ответственность контрактного управляющего за допущенные им нарушения действующего законодательства в сфере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Контрактный управляющий может быть членом комиссии по осуществлению закупок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Контрактный управляющий подчиняется директору (и.о. директора) и выполняет возложенные на него обязанности, функции и полномочия на основании письменных или устных распоряжений указанного лица.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Функциональные обязанности контрактного управляющего:</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планирование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обоснование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обоснование начальной (максимальной) цены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обязательное общественное обсуждение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организационно-техническое обеспечение деятельности комиссий по осуществлению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привлечение экспертов, экспертных организаций;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(если предусмотрена законодательством), проектов контрактов;</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подготовка и направление приглашений принять участие в определении поставщиков (подрядчиков, исполнителей) закрытыми способами;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рассмотрение независимых гарантий и организация осуществления уплаты денежных сумм по независимой гарантии;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организация заключения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организация оплаты поставленного товара, выполненной работы (ее результатов), оказанной услуги;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взаимодействие с поставщиком (подрядчиком, исполнителем) при изменении, расторжении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направление поставщику (подрядчику, исполнителю) требования об уплате неустоек (штрафов, пеней);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иные, предусмотренные Положением или законодательством.</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Функции и полномочия контрактного управляющего</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Контрактный управляющий осуществляет следующие функции и полномочия: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При планировании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разрабатывает план-график, осуществляет подготовку изменений в план-график;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 организует общественное обсуждение закупок в случаях, предусмотренных статьей 20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При определении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8.2.2.2. осуществляет описание объекта закупки;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8.2.2.3. указывает в извещении об осуществлении закупки информацию, предусмотренную статьей 42 Федерального закона, в том числе информацию:</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преимуществе в отношении участников закупок, установленном в соответствии со статьей 30 Федерального закона (при необходимости);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преимуществах, предоставляемых в соответствии со статьями 28, 29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 осуществляет оформление и размещение в единой информационной системе протоколов определения поставщика (подрядчика, исполнителя);</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8.2.6. осуществляет организационно-техническое обеспечение деятельности комиссии по осуществлению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8.2.7. осуществляет привлечение экспертов, экспертных организаций в случаях, установленных статьей 41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При заключении контрактов:</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 осуществляет рассмотрение протокола разногласий при наличии разногласий по проекту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 осуществляет рассмотрение независимой гарантии, представленной в качестве обеспечения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8.3.7. обеспечивает хранение информации и документов в соответствии с частью 15 статьи 4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При исполнении, изменении, расторжении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осуществляет рассмотрение независимой гарантии, представленной в качестве обеспечения гарантийного обязательства;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8.4.2. обеспечивает исполнение условий контракта в части выплаты аванса (если контрактом предусмотрена выплата аванса);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w:t>
      </w:r>
      <w:r>
        <w:rPr>
          <w:rFonts w:ascii="Times New Roman" w:eastAsia="Times New Roman" w:hAnsi="Times New Roman" w:cs="Times New Roman"/>
          <w:sz w:val="24"/>
          <w:szCs w:val="24"/>
        </w:rPr>
        <w:lastRenderedPageBreak/>
        <w:t>включения указанной информации в реестр недобросовестных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8.4.9. обеспечивает одностороннее расторжение контракта в порядке, предусмотренном статьей 95 Федерального закона.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осуществляет иные функции и полномочия, предусмотренные Федеральным законом, в том числе: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Ответственность контрактного управляющего</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sidRPr="003C1763">
        <w:rPr>
          <w:rFonts w:ascii="Times New Roman" w:eastAsia="Times New Roman" w:hAnsi="Times New Roman" w:cs="Times New Roman"/>
          <w:sz w:val="24"/>
          <w:szCs w:val="24"/>
        </w:rPr>
        <w:t>IV. Порядок взаимодействия контрактного управляющего с другими подразделениями Заказчика, комиссией по осуществлению закупок</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Члены комиссии Заказчика по осуществлению закупок вправе требовать от контрактного управляющего:</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организационно-технического обеспечения деятельности комиссий по осуществлению закупок: предоставления устройств для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извещения (документации) закупок;</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подготовки протоколов заседаний комиссий по осуществлению закупок на основании решений, принятых членами комиссии по осуществлению закупок, если иное не предусмотрено порядком работы комиссии;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письменных пояснений относительно положений извещений (документаций) о закупке, включая требования к участникам и описание объекта закупки;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участия в проверке соответствия участников закупки требованиям, установленным документацией о закупке;</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экспертных организаций.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для хранения – протоколы, составленных в ходе проведения закупок, заявки на участие в закупках, извещения (документацию) о закупках и иные документы, использовавшиеся для деятельности комиссий;</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6C73F1" w:rsidRDefault="001119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Порядок взаимодействия контрактного управляющего с другими подразделениями Заказчика определяется локальным актом Заказчика.</w:t>
      </w:r>
    </w:p>
    <w:p w:rsidR="006C73F1" w:rsidRDefault="006C73F1">
      <w:pPr>
        <w:spacing w:after="0" w:line="240" w:lineRule="auto"/>
        <w:ind w:firstLine="567"/>
        <w:jc w:val="both"/>
        <w:rPr>
          <w:rFonts w:ascii="Times New Roman" w:eastAsia="Times New Roman" w:hAnsi="Times New Roman" w:cs="Times New Roman"/>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rPr>
          <w:rFonts w:ascii="Times New Roman" w:eastAsia="Times New Roman" w:hAnsi="Times New Roman" w:cs="Times New Roman"/>
          <w:b/>
          <w:sz w:val="24"/>
          <w:szCs w:val="24"/>
        </w:rPr>
      </w:pPr>
    </w:p>
    <w:p w:rsidR="008D7576" w:rsidRDefault="008D7576">
      <w:pPr>
        <w:rPr>
          <w:rFonts w:ascii="Times New Roman" w:eastAsia="Times New Roman" w:hAnsi="Times New Roman" w:cs="Times New Roman"/>
        </w:rPr>
      </w:pPr>
    </w:p>
    <w:p w:rsidR="006C73F1" w:rsidRDefault="006C73F1">
      <w:pPr>
        <w:spacing w:after="0" w:line="240" w:lineRule="auto"/>
        <w:ind w:left="6663"/>
        <w:rPr>
          <w:rFonts w:ascii="Times New Roman" w:eastAsia="Times New Roman" w:hAnsi="Times New Roman" w:cs="Times New Roman"/>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1119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Должностная инструкция контрактного управляющего</w:t>
      </w:r>
    </w:p>
    <w:p w:rsidR="006C73F1" w:rsidRDefault="0011198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Контрактный управляющий обязан соблюдать Положение о контрактном управляющем </w:t>
      </w:r>
    </w:p>
    <w:p w:rsidR="006C73F1" w:rsidRDefault="00111987">
      <w:pPr>
        <w:pBdr>
          <w:top w:val="nil"/>
          <w:left w:val="nil"/>
          <w:bottom w:val="nil"/>
          <w:right w:val="nil"/>
          <w:between w:val="nil"/>
        </w:pBdr>
        <w:tabs>
          <w:tab w:val="left" w:pos="107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C73F1" w:rsidRDefault="0011198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Возложить на контрактных управляющих _____</w:t>
      </w:r>
      <w:r w:rsidRPr="008D7576">
        <w:rPr>
          <w:rFonts w:ascii="Times New Roman" w:eastAsia="Times New Roman" w:hAnsi="Times New Roman" w:cs="Times New Roman"/>
          <w:color w:val="000000"/>
          <w:sz w:val="24"/>
          <w:szCs w:val="24"/>
        </w:rPr>
        <w:t>ФИО, ФИО</w:t>
      </w:r>
      <w:r>
        <w:rPr>
          <w:rFonts w:ascii="Times New Roman" w:eastAsia="Times New Roman" w:hAnsi="Times New Roman" w:cs="Times New Roman"/>
          <w:color w:val="000000"/>
          <w:sz w:val="24"/>
          <w:szCs w:val="24"/>
        </w:rPr>
        <w:t xml:space="preserve">_______ следующие обязанности: </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и анализ информации о ценах на товары, работы, услуги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и направление приглашений к определению поставщиков (подрядчиков, исполнителей) различными способами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формирование и хранение данных, информации, документов, в том числе полученных от поставщиков (подрядчиков, исполнителей)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начальной (максимальной) цены закупки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описания объекта закупки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требований, предъявляемых к участнику закупки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порядка оценки участников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проекта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закупочной документации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и публичное размещение извещения об осуществлении закупки, документации о закупках (если предусмотрено), проектов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необходимой документации для проведения закупочной процедуры</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организационно-технического обеспечения деятельности закупочных комиссий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мониторинга поставщиков (подрядчиков, исполнителей) и заказчиков в сфере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 и анализ поступивших заявок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Организационно-техническое обеспечение деятельности комиссий по осуществлению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заявок, проверка независимых гарантий, оценка результатов и подведение итогов закупочной процедуры</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подготовки протоколов заседаний закупочных комиссий на основании решений, принятых членами комиссии по осуществлению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Публичное размещение полученных результатов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приглашений для заключения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необходимой документации для заключения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процедуры подписания контракта с поставщиками (подрядчиками, исполнителями)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документа о приемке результатов исполнения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осуществления оплаты поставленного товара, выполненной работы (ее результатов), оказанной услуги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осуществления уплаты денежных сумм по независимой гарантии в предусмотренных случаях</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возврата денежных средств, внесенных в качестве обеспечения исполнения заявок, обеспечения гарантийных обязательств или обеспечения исполнения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общественного обсуждения закупок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плана-графика и осуществление подготовки изменений для внесения в план-график</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Публичное размещение плана-графика, внесенных в него изменений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утверждения плана-графика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и обоснование начальной (максимальной) цены контракта, в том числе заключаемого с единственным поставщиком (подрядчиком, исполнителем)</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Предложение выбора способа определения поставщика (подрядчика, исполнителя)</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привлечения на основе контракта специализированной организации для выполнения отдельных функций по определению поставщика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и контроль разработки проектов контрактов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иной отчетной документации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информации о ходе исполнения обязательств поставщика (подрядчика, исполнителя), в том числе о сложностях, возникающих при исполнении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на достоверность полученной информации о ходе исполнения обязательств поставщика (подрядчика, исполнителя), в том числе о сложностях, возникающих при исполнении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с поставщиком (подрядчиком, исполнителем) при изменении, расторжении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мер ответственности и совершение иных действий в случае нарушения поставщиком (подрядчиком, исполнителем) условий контракта, в том числе организация включения в реестр недобросовестных поставщиков</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соответствия результатов, предусмотренных контрактом, условиям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проверки соответствия фактов и данных при предоставлении (предъявлении) результатов, предусмотренных контрактом, условиям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процедуры приемки поставленного товара, выполненной работы (ее результатов), оказанной услуги и создание приемочной комиссии</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сторонних экспертов или экспертных организаций для экспертизы (проверки) соответствия результатов, предусмотренных контрактом, условиям контракта</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подготовки материалов для рассмотрения дел об обжаловании действий (бездействия) Заказчика и для выполнения претензионной работы</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оформление документа по результатам проверки соответствия фактов и данных при предоставлении (предъявлении) результатов, предусмотренных контрактом, условиям контракта </w:t>
      </w:r>
    </w:p>
    <w:p w:rsidR="006C73F1" w:rsidRDefault="00111987">
      <w:pPr>
        <w:numPr>
          <w:ilvl w:val="0"/>
          <w:numId w:val="1"/>
        </w:numPr>
        <w:pBdr>
          <w:top w:val="nil"/>
          <w:left w:val="nil"/>
          <w:bottom w:val="nil"/>
          <w:right w:val="nil"/>
          <w:between w:val="nil"/>
        </w:pBdr>
        <w:tabs>
          <w:tab w:val="left" w:pos="993"/>
        </w:tabs>
        <w:spacing w:after="0" w:line="240" w:lineRule="auto"/>
        <w:ind w:left="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формирование, хранение данных, относящихся к закупкам Заказчика</w:t>
      </w:r>
    </w:p>
    <w:p w:rsidR="006C73F1" w:rsidRDefault="00111987">
      <w:pPr>
        <w:rPr>
          <w:rFonts w:ascii="Times New Roman" w:eastAsia="Times New Roman" w:hAnsi="Times New Roman" w:cs="Times New Roman"/>
          <w:sz w:val="24"/>
          <w:szCs w:val="24"/>
        </w:rPr>
      </w:pPr>
      <w:r>
        <w:br w:type="page"/>
      </w:r>
    </w:p>
    <w:p w:rsidR="006C73F1" w:rsidRDefault="00111987">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Лист ознакомления</w:t>
      </w:r>
    </w:p>
    <w:p w:rsidR="006C73F1" w:rsidRDefault="00111987">
      <w:pPr>
        <w:spacing w:after="0" w:line="240" w:lineRule="auto"/>
        <w:ind w:firstLine="567"/>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с Положением о контрактном управляющем и Должностной инструкцией контрактного управляющего </w:t>
      </w: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both"/>
        <w:rPr>
          <w:rFonts w:ascii="Times New Roman" w:eastAsia="Times New Roman" w:hAnsi="Times New Roman" w:cs="Times New Roman"/>
          <w:sz w:val="24"/>
          <w:szCs w:val="24"/>
        </w:rPr>
      </w:pPr>
    </w:p>
    <w:tbl>
      <w:tblPr>
        <w:tblStyle w:val="a5"/>
        <w:tblW w:w="99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63"/>
        <w:gridCol w:w="8449"/>
      </w:tblGrid>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___________________ «__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___» 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___» 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11198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w:t>
            </w:r>
          </w:p>
        </w:tc>
        <w:tc>
          <w:tcPr>
            <w:tcW w:w="8449" w:type="dxa"/>
          </w:tcPr>
          <w:p w:rsidR="006C73F1" w:rsidRDefault="001119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контрактный управляющий 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___» _____ 202__</w:t>
            </w:r>
          </w:p>
          <w:p w:rsidR="006C73F1" w:rsidRDefault="0011198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rPr>
                <w:rFonts w:ascii="Times New Roman" w:eastAsia="Times New Roman" w:hAnsi="Times New Roman" w:cs="Times New Roman"/>
                <w:sz w:val="24"/>
                <w:szCs w:val="24"/>
                <w:vertAlign w:val="superscript"/>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rPr>
                <w:rFonts w:ascii="Times New Roman" w:eastAsia="Times New Roman" w:hAnsi="Times New Roman" w:cs="Times New Roman"/>
                <w:sz w:val="24"/>
                <w:szCs w:val="24"/>
                <w:vertAlign w:val="superscript"/>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jc w:val="right"/>
              <w:rPr>
                <w:rFonts w:ascii="Times New Roman" w:eastAsia="Times New Roman" w:hAnsi="Times New Roman" w:cs="Times New Roman"/>
                <w:sz w:val="24"/>
                <w:szCs w:val="24"/>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rPr>
                <w:rFonts w:ascii="Times New Roman" w:eastAsia="Times New Roman" w:hAnsi="Times New Roman" w:cs="Times New Roman"/>
                <w:sz w:val="24"/>
                <w:szCs w:val="24"/>
                <w:vertAlign w:val="superscript"/>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Pr>
          <w:p w:rsidR="006C73F1" w:rsidRDefault="006C73F1">
            <w:pPr>
              <w:rPr>
                <w:rFonts w:ascii="Times New Roman" w:eastAsia="Times New Roman" w:hAnsi="Times New Roman" w:cs="Times New Roman"/>
                <w:sz w:val="24"/>
                <w:szCs w:val="24"/>
              </w:rPr>
            </w:pPr>
          </w:p>
        </w:tc>
        <w:tc>
          <w:tcPr>
            <w:tcW w:w="8449" w:type="dxa"/>
          </w:tcPr>
          <w:p w:rsidR="006C73F1" w:rsidRDefault="006C73F1">
            <w:pPr>
              <w:jc w:val="right"/>
              <w:rPr>
                <w:rFonts w:ascii="Times New Roman" w:eastAsia="Times New Roman" w:hAnsi="Times New Roman" w:cs="Times New Roman"/>
                <w:sz w:val="24"/>
                <w:szCs w:val="24"/>
              </w:rPr>
            </w:pPr>
          </w:p>
        </w:tc>
      </w:tr>
      <w:tr w:rsidR="006C73F1">
        <w:tc>
          <w:tcPr>
            <w:tcW w:w="1463" w:type="dxa"/>
            <w:tcBorders>
              <w:top w:val="nil"/>
              <w:left w:val="nil"/>
              <w:bottom w:val="nil"/>
              <w:right w:val="nil"/>
            </w:tcBorders>
          </w:tcPr>
          <w:p w:rsidR="006C73F1" w:rsidRDefault="006C73F1">
            <w:pPr>
              <w:rPr>
                <w:rFonts w:ascii="Times New Roman" w:eastAsia="Times New Roman" w:hAnsi="Times New Roman" w:cs="Times New Roman"/>
                <w:sz w:val="24"/>
                <w:szCs w:val="24"/>
              </w:rPr>
            </w:pPr>
          </w:p>
        </w:tc>
        <w:tc>
          <w:tcPr>
            <w:tcW w:w="8449" w:type="dxa"/>
            <w:tcBorders>
              <w:top w:val="nil"/>
              <w:left w:val="nil"/>
              <w:bottom w:val="nil"/>
              <w:right w:val="nil"/>
            </w:tcBorders>
          </w:tcPr>
          <w:p w:rsidR="006C73F1" w:rsidRDefault="006C73F1">
            <w:pPr>
              <w:rPr>
                <w:rFonts w:ascii="Times New Roman" w:eastAsia="Times New Roman" w:hAnsi="Times New Roman" w:cs="Times New Roman"/>
                <w:sz w:val="24"/>
                <w:szCs w:val="24"/>
                <w:vertAlign w:val="superscript"/>
              </w:rPr>
            </w:pPr>
          </w:p>
        </w:tc>
      </w:tr>
    </w:tbl>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p w:rsidR="006C73F1" w:rsidRDefault="006C73F1">
      <w:pPr>
        <w:spacing w:after="0" w:line="240" w:lineRule="auto"/>
        <w:ind w:firstLine="567"/>
        <w:jc w:val="center"/>
        <w:rPr>
          <w:rFonts w:ascii="Times New Roman" w:eastAsia="Times New Roman" w:hAnsi="Times New Roman" w:cs="Times New Roman"/>
          <w:b/>
          <w:sz w:val="24"/>
          <w:szCs w:val="24"/>
        </w:rPr>
      </w:pPr>
    </w:p>
    <w:sectPr w:rsidR="006C73F1" w:rsidSect="00132CC4">
      <w:pgSz w:w="11906" w:h="16838"/>
      <w:pgMar w:top="1134" w:right="42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423B9"/>
    <w:multiLevelType w:val="multilevel"/>
    <w:tmpl w:val="6A804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C73F1"/>
    <w:rsid w:val="00111987"/>
    <w:rsid w:val="00132CC4"/>
    <w:rsid w:val="003C1763"/>
    <w:rsid w:val="00494780"/>
    <w:rsid w:val="004A7CFF"/>
    <w:rsid w:val="006C73F1"/>
    <w:rsid w:val="008A75DA"/>
    <w:rsid w:val="008D7576"/>
    <w:rsid w:val="008D7B82"/>
    <w:rsid w:val="00AD1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6E48"/>
  <w15:docId w15:val="{B8FD325E-8E1F-45AF-BB7A-66A4F186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CFF"/>
  </w:style>
  <w:style w:type="paragraph" w:styleId="1">
    <w:name w:val="heading 1"/>
    <w:basedOn w:val="a"/>
    <w:next w:val="a"/>
    <w:uiPriority w:val="9"/>
    <w:qFormat/>
    <w:rsid w:val="004A7CFF"/>
    <w:pPr>
      <w:keepNext/>
      <w:keepLines/>
      <w:spacing w:before="480" w:after="120"/>
      <w:outlineLvl w:val="0"/>
    </w:pPr>
    <w:rPr>
      <w:b/>
      <w:sz w:val="48"/>
      <w:szCs w:val="48"/>
    </w:rPr>
  </w:style>
  <w:style w:type="paragraph" w:styleId="2">
    <w:name w:val="heading 2"/>
    <w:basedOn w:val="a"/>
    <w:next w:val="a"/>
    <w:uiPriority w:val="9"/>
    <w:semiHidden/>
    <w:unhideWhenUsed/>
    <w:qFormat/>
    <w:rsid w:val="004A7CFF"/>
    <w:pPr>
      <w:keepNext/>
      <w:keepLines/>
      <w:spacing w:before="360" w:after="80"/>
      <w:outlineLvl w:val="1"/>
    </w:pPr>
    <w:rPr>
      <w:b/>
      <w:sz w:val="36"/>
      <w:szCs w:val="36"/>
    </w:rPr>
  </w:style>
  <w:style w:type="paragraph" w:styleId="3">
    <w:name w:val="heading 3"/>
    <w:basedOn w:val="a"/>
    <w:next w:val="a"/>
    <w:uiPriority w:val="9"/>
    <w:semiHidden/>
    <w:unhideWhenUsed/>
    <w:qFormat/>
    <w:rsid w:val="004A7CFF"/>
    <w:pPr>
      <w:keepNext/>
      <w:keepLines/>
      <w:spacing w:before="280" w:after="80"/>
      <w:outlineLvl w:val="2"/>
    </w:pPr>
    <w:rPr>
      <w:b/>
      <w:sz w:val="28"/>
      <w:szCs w:val="28"/>
    </w:rPr>
  </w:style>
  <w:style w:type="paragraph" w:styleId="4">
    <w:name w:val="heading 4"/>
    <w:basedOn w:val="a"/>
    <w:next w:val="a"/>
    <w:uiPriority w:val="9"/>
    <w:semiHidden/>
    <w:unhideWhenUsed/>
    <w:qFormat/>
    <w:rsid w:val="004A7CFF"/>
    <w:pPr>
      <w:keepNext/>
      <w:keepLines/>
      <w:spacing w:before="240" w:after="40"/>
      <w:outlineLvl w:val="3"/>
    </w:pPr>
    <w:rPr>
      <w:b/>
      <w:sz w:val="24"/>
      <w:szCs w:val="24"/>
    </w:rPr>
  </w:style>
  <w:style w:type="paragraph" w:styleId="5">
    <w:name w:val="heading 5"/>
    <w:basedOn w:val="a"/>
    <w:next w:val="a"/>
    <w:uiPriority w:val="9"/>
    <w:semiHidden/>
    <w:unhideWhenUsed/>
    <w:qFormat/>
    <w:rsid w:val="004A7CFF"/>
    <w:pPr>
      <w:keepNext/>
      <w:keepLines/>
      <w:spacing w:before="220" w:after="40"/>
      <w:outlineLvl w:val="4"/>
    </w:pPr>
    <w:rPr>
      <w:b/>
    </w:rPr>
  </w:style>
  <w:style w:type="paragraph" w:styleId="6">
    <w:name w:val="heading 6"/>
    <w:basedOn w:val="a"/>
    <w:next w:val="a"/>
    <w:uiPriority w:val="9"/>
    <w:semiHidden/>
    <w:unhideWhenUsed/>
    <w:qFormat/>
    <w:rsid w:val="004A7C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7CFF"/>
    <w:tblPr>
      <w:tblCellMar>
        <w:top w:w="0" w:type="dxa"/>
        <w:left w:w="0" w:type="dxa"/>
        <w:bottom w:w="0" w:type="dxa"/>
        <w:right w:w="0" w:type="dxa"/>
      </w:tblCellMar>
    </w:tblPr>
  </w:style>
  <w:style w:type="paragraph" w:styleId="a3">
    <w:name w:val="Title"/>
    <w:basedOn w:val="a"/>
    <w:next w:val="a"/>
    <w:uiPriority w:val="10"/>
    <w:qFormat/>
    <w:rsid w:val="004A7CFF"/>
    <w:pPr>
      <w:keepNext/>
      <w:keepLines/>
      <w:spacing w:before="480" w:after="120"/>
    </w:pPr>
    <w:rPr>
      <w:b/>
      <w:sz w:val="72"/>
      <w:szCs w:val="72"/>
    </w:rPr>
  </w:style>
  <w:style w:type="paragraph" w:styleId="a4">
    <w:name w:val="Subtitle"/>
    <w:basedOn w:val="a"/>
    <w:next w:val="a"/>
    <w:uiPriority w:val="11"/>
    <w:qFormat/>
    <w:rsid w:val="004A7CFF"/>
    <w:pPr>
      <w:keepNext/>
      <w:keepLines/>
      <w:spacing w:before="360" w:after="80"/>
    </w:pPr>
    <w:rPr>
      <w:rFonts w:ascii="Georgia" w:eastAsia="Georgia" w:hAnsi="Georgia" w:cs="Georgia"/>
      <w:i/>
      <w:color w:val="666666"/>
      <w:sz w:val="48"/>
      <w:szCs w:val="48"/>
    </w:rPr>
  </w:style>
  <w:style w:type="table" w:customStyle="1" w:styleId="a5">
    <w:basedOn w:val="TableNormal"/>
    <w:rsid w:val="004A7CFF"/>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132C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2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9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Бухгалтер</cp:lastModifiedBy>
  <cp:revision>11</cp:revision>
  <cp:lastPrinted>2022-02-17T07:09:00Z</cp:lastPrinted>
  <dcterms:created xsi:type="dcterms:W3CDTF">2022-02-10T08:22:00Z</dcterms:created>
  <dcterms:modified xsi:type="dcterms:W3CDTF">2022-02-17T07:13:00Z</dcterms:modified>
</cp:coreProperties>
</file>