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 xml:space="preserve">                                                                                                                </w:t>
      </w:r>
      <w:r w:rsidR="009A14EB">
        <w:rPr>
          <w:rFonts w:ascii="Times New Roman" w:hAnsi="Times New Roman" w:cs="Times New Roman"/>
          <w:sz w:val="24"/>
          <w:szCs w:val="24"/>
        </w:rPr>
        <w:t xml:space="preserve">     </w:t>
      </w:r>
      <w:r w:rsidR="0059488B" w:rsidRPr="0059488B">
        <w:rPr>
          <w:rFonts w:ascii="Times New Roman" w:hAnsi="Times New Roman" w:cs="Times New Roman"/>
          <w:sz w:val="24"/>
          <w:szCs w:val="24"/>
        </w:rPr>
        <w:t>Приложение № 12</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 xml:space="preserve">                                                                                             к учетной политике учреждения,</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 xml:space="preserve">                                                                                   утвержденной приказом руководителя</w:t>
      </w:r>
    </w:p>
    <w:p w:rsidR="006B3745" w:rsidRPr="0059488B" w:rsidRDefault="006B3745" w:rsidP="0059488B">
      <w:pPr>
        <w:jc w:val="both"/>
        <w:rPr>
          <w:rFonts w:ascii="Times New Roman" w:hAnsi="Times New Roman" w:cs="Times New Roman"/>
          <w:sz w:val="24"/>
          <w:szCs w:val="24"/>
        </w:rPr>
      </w:pP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 xml:space="preserve">                                                                                         от </w:t>
      </w:r>
      <w:proofErr w:type="gramStart"/>
      <w:r w:rsidRPr="0059488B">
        <w:rPr>
          <w:rFonts w:ascii="Times New Roman" w:hAnsi="Times New Roman" w:cs="Times New Roman"/>
          <w:sz w:val="24"/>
          <w:szCs w:val="24"/>
        </w:rPr>
        <w:t>«</w:t>
      </w:r>
      <w:r w:rsidR="004D088E">
        <w:rPr>
          <w:rFonts w:ascii="Times New Roman" w:hAnsi="Times New Roman" w:cs="Times New Roman"/>
          <w:sz w:val="24"/>
          <w:szCs w:val="24"/>
        </w:rPr>
        <w:t xml:space="preserve"> 09</w:t>
      </w:r>
      <w:proofErr w:type="gramEnd"/>
      <w:r w:rsidR="004D088E">
        <w:rPr>
          <w:rFonts w:ascii="Times New Roman" w:hAnsi="Times New Roman" w:cs="Times New Roman"/>
          <w:sz w:val="24"/>
          <w:szCs w:val="24"/>
        </w:rPr>
        <w:t xml:space="preserve"> </w:t>
      </w:r>
      <w:r w:rsidRPr="0059488B">
        <w:rPr>
          <w:rFonts w:ascii="Times New Roman" w:hAnsi="Times New Roman" w:cs="Times New Roman"/>
          <w:sz w:val="24"/>
          <w:szCs w:val="24"/>
        </w:rPr>
        <w:t xml:space="preserve">» </w:t>
      </w:r>
      <w:r w:rsidR="004D088E">
        <w:rPr>
          <w:rFonts w:ascii="Times New Roman" w:hAnsi="Times New Roman" w:cs="Times New Roman"/>
          <w:sz w:val="24"/>
          <w:szCs w:val="24"/>
        </w:rPr>
        <w:t>января</w:t>
      </w:r>
      <w:r w:rsidRPr="0059488B">
        <w:rPr>
          <w:rFonts w:ascii="Times New Roman" w:hAnsi="Times New Roman" w:cs="Times New Roman"/>
          <w:sz w:val="24"/>
          <w:szCs w:val="24"/>
        </w:rPr>
        <w:t xml:space="preserve"> 20</w:t>
      </w:r>
      <w:r w:rsidR="004D088E">
        <w:rPr>
          <w:rFonts w:ascii="Times New Roman" w:hAnsi="Times New Roman" w:cs="Times New Roman"/>
          <w:sz w:val="24"/>
          <w:szCs w:val="24"/>
        </w:rPr>
        <w:t xml:space="preserve">20 </w:t>
      </w:r>
      <w:r w:rsidRPr="0059488B">
        <w:rPr>
          <w:rFonts w:ascii="Times New Roman" w:hAnsi="Times New Roman" w:cs="Times New Roman"/>
          <w:sz w:val="24"/>
          <w:szCs w:val="24"/>
        </w:rPr>
        <w:t>г.</w:t>
      </w:r>
      <w:r w:rsidR="004D088E">
        <w:rPr>
          <w:rFonts w:ascii="Times New Roman" w:hAnsi="Times New Roman" w:cs="Times New Roman"/>
          <w:sz w:val="24"/>
          <w:szCs w:val="24"/>
        </w:rPr>
        <w:t>№ 21/1</w:t>
      </w:r>
      <w:bookmarkStart w:id="0" w:name="_GoBack"/>
      <w:bookmarkEnd w:id="0"/>
    </w:p>
    <w:p w:rsidR="006B3745" w:rsidRPr="0059488B" w:rsidRDefault="006B3745" w:rsidP="0059488B">
      <w:pPr>
        <w:jc w:val="both"/>
        <w:rPr>
          <w:rFonts w:ascii="Times New Roman" w:hAnsi="Times New Roman" w:cs="Times New Roman"/>
          <w:sz w:val="24"/>
          <w:szCs w:val="24"/>
        </w:rPr>
      </w:pPr>
    </w:p>
    <w:p w:rsidR="006B3745" w:rsidRPr="001D4143" w:rsidRDefault="006B3745" w:rsidP="0059488B">
      <w:pPr>
        <w:jc w:val="both"/>
        <w:rPr>
          <w:rFonts w:ascii="Times New Roman" w:hAnsi="Times New Roman" w:cs="Times New Roman"/>
          <w:b/>
          <w:sz w:val="24"/>
          <w:szCs w:val="24"/>
        </w:rPr>
      </w:pPr>
      <w:r w:rsidRPr="001D4143">
        <w:rPr>
          <w:rFonts w:ascii="Times New Roman" w:hAnsi="Times New Roman" w:cs="Times New Roman"/>
          <w:b/>
          <w:sz w:val="24"/>
          <w:szCs w:val="24"/>
        </w:rPr>
        <w:t xml:space="preserve">                             Положение о порядке проведения инвентаризации</w:t>
      </w:r>
    </w:p>
    <w:p w:rsidR="006B3745" w:rsidRPr="0059488B" w:rsidRDefault="006B3745" w:rsidP="0059488B">
      <w:pPr>
        <w:jc w:val="both"/>
        <w:rPr>
          <w:rFonts w:ascii="Times New Roman" w:hAnsi="Times New Roman" w:cs="Times New Roman"/>
          <w:sz w:val="24"/>
          <w:szCs w:val="24"/>
        </w:rPr>
      </w:pP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 xml:space="preserve">Настоящее положение устанавливает единый порядок проведения инвентаризации имущества и обязательств </w:t>
      </w:r>
      <w:r w:rsidR="0059488B" w:rsidRPr="0059488B">
        <w:rPr>
          <w:rFonts w:ascii="Times New Roman" w:hAnsi="Times New Roman" w:cs="Times New Roman"/>
          <w:sz w:val="24"/>
          <w:szCs w:val="24"/>
          <w:u w:val="single"/>
        </w:rPr>
        <w:t xml:space="preserve">МБДОУ «Детский сад №101» г. Уссурийска Уссурийского городского </w:t>
      </w:r>
      <w:proofErr w:type="gramStart"/>
      <w:r w:rsidR="0059488B" w:rsidRPr="0059488B">
        <w:rPr>
          <w:rFonts w:ascii="Times New Roman" w:hAnsi="Times New Roman" w:cs="Times New Roman"/>
          <w:sz w:val="24"/>
          <w:szCs w:val="24"/>
          <w:u w:val="single"/>
        </w:rPr>
        <w:t>округа._</w:t>
      </w:r>
      <w:proofErr w:type="gramEnd"/>
      <w:r w:rsidR="0059488B" w:rsidRPr="0059488B">
        <w:rPr>
          <w:rFonts w:ascii="Times New Roman" w:hAnsi="Times New Roman" w:cs="Times New Roman"/>
          <w:sz w:val="24"/>
          <w:szCs w:val="24"/>
          <w:u w:val="single"/>
        </w:rPr>
        <w:t>___</w:t>
      </w:r>
      <w:r w:rsidRPr="0059488B">
        <w:rPr>
          <w:rFonts w:ascii="Times New Roman" w:hAnsi="Times New Roman" w:cs="Times New Roman"/>
          <w:sz w:val="24"/>
          <w:szCs w:val="24"/>
        </w:rPr>
        <w:t>, именуемого в дальнейшем «Учреждение».</w:t>
      </w:r>
    </w:p>
    <w:p w:rsidR="006B3745" w:rsidRPr="0059488B" w:rsidRDefault="006B3745" w:rsidP="0059488B">
      <w:pPr>
        <w:jc w:val="both"/>
        <w:rPr>
          <w:rFonts w:ascii="Times New Roman" w:hAnsi="Times New Roman" w:cs="Times New Roman"/>
          <w:sz w:val="24"/>
          <w:szCs w:val="24"/>
        </w:rPr>
      </w:pP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Положение разработано в соответствии с требованиями Федерального закона от 06.12.2011 № 402-ФЗ «О бухгалтерском учете»,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 157н, Методических указаниях по инвентаризации имущества и финансовых обязательств, утвержденных Приказом Минфина РФ от 13.06.1995 № 49, Приказа Минфина РФ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а также иных нормативных законодательных актов, локальных актов Учреждения и устава.</w:t>
      </w:r>
    </w:p>
    <w:p w:rsidR="006B3745" w:rsidRPr="0059488B" w:rsidRDefault="006B3745" w:rsidP="0059488B">
      <w:pPr>
        <w:jc w:val="both"/>
        <w:rPr>
          <w:rFonts w:ascii="Times New Roman" w:hAnsi="Times New Roman" w:cs="Times New Roman"/>
          <w:sz w:val="24"/>
          <w:szCs w:val="24"/>
        </w:rPr>
      </w:pP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Инвентаризация проводится в целях:</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 выявления фактического наличия имущества;</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 сопоставления фактического наличия имущества с данными бухгалтерского учета;</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 проверки полноты отражения в учете обязательств.</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Основанием для проведения инвентаризации является приказ (распоряжение) руководителя Учреждения.</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В приказе (распоряжении) о проведении инвентаризации устанавливаются сроки ее проведения и перечень объектов, подлежащих инвентаризации. В данный перечень может быть включено:</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 любое имущество независимо от его местонахождения (находящееся в оперативном управлении Учреждения, полученное им на ответственное хранение или в пользование, арендованное имущество и т. д.);</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lastRenderedPageBreak/>
        <w:t>– все виды финансовых обязательств.</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Руководитель учреждения обязан обеспечить необходимые условия для проведения инвентаризации в установленные сроки (в частности, обеспечить рабочей силой для перевешивания и перемещения грузов, технически исправным весовым хозяйством, измерительными и контрольными приборами, мерной тарой).</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1. Инвентаризационная комиссия</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1.1. Для проведения инвентаризаций в Учреждении создается постоянно действующая инвентаризационная комиссия.</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В инвентаризационную комиссию в обязательном порядке должен входить представитель администрации и бухгалтерии учреждения.</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Персональный состав комиссии, а также порядок ее создания и работы утверждается приказом руководителя Учреждения.</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1.2. К проведению инвентаризации могут привлекаться лица, уполномоченные на осуществление внутреннего финансового контроля, и различные эксперты.</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1.3. Инвентаризационная комиссия обеспечивает полноту и точность внесения в инвентаризационные описи данных о фактических остатках имущества и реальности учтенных обязательств, правильность и своевременность оформления материалов инвентаризации.</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2. Периодичность, сроки и формы проведения инвентаризации</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2.1. В обязательном порядке инвентаризация проводится:</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 перед составлением годовой бухгалтерской (бюджетной) отчетности;</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 при смене материально ответственных лиц;</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 при установлении фактов хищений, недостач, порчи имущества;</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 в случае стихийных бедствий и иных чрезвычайных ситуаций;</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 в случае ликвидации (реорганизации) учреждения (перед составлением ликвидационного (разделительного) баланса).</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 xml:space="preserve">2.2. Инвентаризации могут быть плановыми и внеплановыми. </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Внеплановые инвентаризации назначаются приказом руководителя.</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2.3. По охвату проверяемых объектов инвентаризация может быть полной и выборочной. Полная инвентаризация охватывает все категории имущества и обязательств.</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В ходе выборочной инвентаризации проверяются отдельные категории имущества и обязательств (</w:t>
      </w:r>
      <w:r w:rsidR="0059488B">
        <w:rPr>
          <w:rFonts w:ascii="Times New Roman" w:hAnsi="Times New Roman" w:cs="Times New Roman"/>
          <w:sz w:val="24"/>
          <w:szCs w:val="24"/>
        </w:rPr>
        <w:t xml:space="preserve">материальные запасы, </w:t>
      </w:r>
      <w:r w:rsidRPr="0059488B">
        <w:rPr>
          <w:rFonts w:ascii="Times New Roman" w:hAnsi="Times New Roman" w:cs="Times New Roman"/>
          <w:sz w:val="24"/>
          <w:szCs w:val="24"/>
        </w:rPr>
        <w:t>расчеты с бюджетом</w:t>
      </w:r>
      <w:r w:rsidR="0059488B">
        <w:rPr>
          <w:rFonts w:ascii="Times New Roman" w:hAnsi="Times New Roman" w:cs="Times New Roman"/>
          <w:sz w:val="24"/>
          <w:szCs w:val="24"/>
        </w:rPr>
        <w:t xml:space="preserve"> и внебюджетными фондами, расчеты с дебиторами и кредиторами</w:t>
      </w:r>
      <w:r w:rsidRPr="0059488B">
        <w:rPr>
          <w:rFonts w:ascii="Times New Roman" w:hAnsi="Times New Roman" w:cs="Times New Roman"/>
          <w:sz w:val="24"/>
          <w:szCs w:val="24"/>
        </w:rPr>
        <w:t xml:space="preserve"> и т. д.)</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3. Подготовка к проведению инвентаризации</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3.1.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(выписки) о движении материальных ценностей и денежных средств.</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lastRenderedPageBreak/>
        <w:t>3.2. 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«__________» (дата)». Эти документы являются основанием для определения остатков имущества к началу инвентаризации по данным бухгалтерского учета.</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3.3. Материально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списаны в расход.</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Аналогичные расписки дают и лица, имеющие подотчетные суммы на приобретение имущества или доверенности на получение имущества.</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3.4. До начала инвентаризации основных средств проверяется:</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 наличие и состояние инвентарных карточек, инвентарных книг, описей и других регистров аналитического учета;</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 наличие и состояние технических паспортов или другой технической документации;</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 наличие документов на основные средства, сданные или принятые Учреждением в аренду и на хранение. При отсутствии документов необходимо обеспечить их получение или оформление.</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При обнаружении расхождений и неточностей в регистрах бухгалтерского учета или технической документации вносятся соответствующие исправления и уточнения.</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4. Документальное оформление инвентаризации</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4.1. Для оформления инвентаризации применяются следующие формы документов:</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 инвентаризационная опись (сличительная ведомость) по объектам нефинансовых активов (ф. 0504087). Опись отражает наименование и код объекта учета, инвентарный номер, единицу измерения, сведения о фактическом наличии объекта учета (цена, количество), сведения по данным бухгалтерского учета (количество, сумма), сведения о результатах инвентаризации (по недостаче и по излишкам – количество и сумма).</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В графе 8 Инвентаризационной описи (сличительной ведомости) по объектам нефинансовых активов (ф. 0504087) отражается статус объекта учета по его наименованию и (или) коду (указать нужный вариант).</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В графе 9 Инвентаризационной описи (сличительной ведомости) по объектам нефинансовых активов (ф. 0504087) отражается целевая функция актива по наименованию и (или) коду (указать нужный вариант).</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В отношении объектов имущества, имеющих признаки обесценения (снижения убытка от обесценения) в инвентаризационной описи (сличительной ведомости) по объектам нефинансовых активов (ф. 0504087):</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 в графе 5 указывается справедливая стоимость объекта;</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 в графе 19 отражается информация о проведении теста на обесценение (снижения убытка от обесценения);</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 xml:space="preserve">– инвентаризационная опись остатков на счетах учета денежных средств (ф. 0504082). В данной описи указываются наименование кредитной организации, номер счета в ней, код </w:t>
      </w:r>
      <w:r w:rsidRPr="0059488B">
        <w:rPr>
          <w:rFonts w:ascii="Times New Roman" w:hAnsi="Times New Roman" w:cs="Times New Roman"/>
          <w:sz w:val="24"/>
          <w:szCs w:val="24"/>
        </w:rPr>
        <w:lastRenderedPageBreak/>
        <w:t>валюты по общероссийскому классификатору валют (ОКВ), остаток денежных средств на дату инвентаризации в иностранной валюте, курс ЦБ РФ на дату инвентаризации и остаток на счете на дату инвентаризации в рублях;</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 инвентаризационная опись расчетов с покупателями, поставщиками и прочими дебиторами и кредиторами (ф. 0504089), в которой отражаются сведения по дебиторской (кредиторской) задолженности, наименование дебитора (кредитора) в случае отражения расчетов по обязательным платежам в бюджеты бюджетной системы РФ, данные о сумме задолженности учреждения по платежам (переплатам по платежам в бюджеты) по видам платежей в разрезе соответствующих бюджетов бюджетной системы РФ, в которые подлежит перечислению задолженность, номер счета бухгалтерского учета, общая сумма задолженности по данным бухгалтерского учета, в том числе подтвержденная дебиторами (кредиторами), не подтвержденная дебиторами (кредиторами), а также сумма задолженности с истекшим сроком исковой давности;</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 инвентаризационная опись расчетов по поступлениям (ф. 0504091), в которой указываются сведения по данным бухгалтерского учета, номер счета бухгалтерского учета, общая сумма задолженности плательщика («всего»), в том числе подтвержденная дебитором, не подтвержденная дебитором, а также сумма задолженности с истекшим сроком исковой давности;</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 ведомость расхождений по результатам инвентаризации (ф. 0504092), в которой фиксируются установленные расхождения фактического наличия нефинансовых и финансовых активов (денежных средств и денежных документов), бланков строгой отчетности с данными бухгалтерского учета: недостачи или излишки по каждому объекту учета в количественном и стоимостном выражении;</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 акт о результатах инвентаризации (ф. 0504835), составляемый на основании ведомости расхождений по результатам инвентаризации.</w:t>
      </w:r>
    </w:p>
    <w:p w:rsidR="006B3745" w:rsidRPr="0059488B" w:rsidRDefault="006B3745" w:rsidP="0059488B">
      <w:pPr>
        <w:jc w:val="both"/>
        <w:rPr>
          <w:rFonts w:ascii="Times New Roman" w:hAnsi="Times New Roman" w:cs="Times New Roman"/>
          <w:sz w:val="24"/>
          <w:szCs w:val="24"/>
        </w:rPr>
      </w:pP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4.2. Инвентаризационные описи формируются инвентаризационной комиссией, подписываются ее председателем, членами комиссии и материально-ответственным лицом. Акт подписывают члены комиссии и утверждает руководитель Учреждения.</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4.3. Инвентаризационные описи и акты инвентаризации оформляются не менее чем в двух экземплярах.</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4.4. Инвентаризационные описи могут быть заполнены как с использованием средств вычислительной и другой организационной техники, так и от руки – четко и ясно, без помарок и подчисток. Для заполнения таких документов применяются чернила или шариковые ручки.</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 Исправления должны быть оговорены и подписаны всеми членами инвентаризационной комиссии и материально ответственными лицами.</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4.5. Не допускается оставлять в описях незаполненные строки. На последних страницах незаполненные строки прочеркиваются.</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 xml:space="preserve">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w:t>
      </w:r>
      <w:r w:rsidRPr="0059488B">
        <w:rPr>
          <w:rFonts w:ascii="Times New Roman" w:hAnsi="Times New Roman" w:cs="Times New Roman"/>
          <w:sz w:val="24"/>
          <w:szCs w:val="24"/>
        </w:rPr>
        <w:lastRenderedPageBreak/>
        <w:t>странице, вне зависимости от того, в каких единицах измерения (штуках, килограммах, метрах и т. д.) эти ценности показаны.</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4.6. На имущество, находящееся на ответственном хранении или арендованное, составляются отдельные инвентаризационные описи.</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5. Порядок проведения инвентаризации имущества</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5.1. Инвентаризация имущества производится по его местонахождению и материально ответственному лицу.</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Материально ответственные лица должны в обязательном порядке присутствовать при проведении инвентаризации имущества.</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Фактическое наличие имущества при инвентаризации определяют путем обязательного подсчета, взвешивания, обмера.</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Количество материалов и товаров, хранящихся в неповрежденной упаковке поставщика, может определяться на основании документов при обязательной проверке в натуре (на выборку) части этих ценностей.</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5.1.1. При инвентаризации основных средств комиссия производит осмотр объектов и заносит в описи полное их наименование, назначение, инвентарные номера и основные технические или эксплуатационные показатели.</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При инвентаризации зданий, сооружений и другой недвижимости комиссия проверяет наличие документов, подтверждающих нахождение указанных объектов в оперативном управлении Учреждения.</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Проверяется также наличие документов на земельные участки, водоемы и другие объекты природных ресурсов, находящиеся на балансе Учреждения.</w:t>
      </w:r>
    </w:p>
    <w:p w:rsidR="006B3745" w:rsidRPr="0059488B" w:rsidRDefault="006B3745" w:rsidP="0059488B">
      <w:pPr>
        <w:jc w:val="both"/>
        <w:rPr>
          <w:rFonts w:ascii="Times New Roman" w:hAnsi="Times New Roman" w:cs="Times New Roman"/>
          <w:sz w:val="24"/>
          <w:szCs w:val="24"/>
        </w:rPr>
      </w:pP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Оценка выявленных неучтенных объектов должна быть произведена с учетом рыночных цен, а износ определен по действительному техническому состоянию объектов с оформлением сведений об оценке и износе соответствующими актами.</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Машины, оборудование и транспортные средства заносятся в описи индивидуально с указанием заводского инвентарного номера по техническому паспорту организации-изготовителя, года выпуска, назначения, мощности и т. д.</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Однотипные предметы хозяйственного инвентаря, инструменты и пр. одинаковой стоимости, поступившие одновременно в одно из структурных подразделений Учреждения и учитываемые на инвентарной карточке группового учета, в описях проводятся по наименованиям с указанием их количества.</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На основные средства, не пригодные к эксплуатации и не подлежащие восстановлению, инвентаризационная комиссия составляет отдельную опись с указанием времени ввода в эксплуатацию и причин, приведших эти объекты к непригодности (порча, полный износ и т. п.).</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5.1.2. При инвентаризации нематериальных активов проверяется наличие документов, подтверждающих права учреждения на их использование, а также правильность и своевременность отражения нематериальных активов в балансе.</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lastRenderedPageBreak/>
        <w:t>5.1.3. Инвентаризация товарно-материальных ценностей проводится в порядке расположения объектов в данном помещении.</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При хранении товарно-материальных ценностей в разных изолированных помещениях у одного материально ответственного лица инвентаризация проводится последовательно по местам хранения. После проверки ценностей вход в помещение не допускается (например, опломбировывается) и комиссия переходит для работы в следующее помещение.</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 xml:space="preserve">Комиссия в присутствии материально ответственных лиц проверяет фактическое наличие товарно-материальных ценностей путем обязательного их пересчета, перевешивания или </w:t>
      </w:r>
      <w:proofErr w:type="spellStart"/>
      <w:r w:rsidRPr="0059488B">
        <w:rPr>
          <w:rFonts w:ascii="Times New Roman" w:hAnsi="Times New Roman" w:cs="Times New Roman"/>
          <w:sz w:val="24"/>
          <w:szCs w:val="24"/>
        </w:rPr>
        <w:t>перемеривания</w:t>
      </w:r>
      <w:proofErr w:type="spellEnd"/>
      <w:r w:rsidRPr="0059488B">
        <w:rPr>
          <w:rFonts w:ascii="Times New Roman" w:hAnsi="Times New Roman" w:cs="Times New Roman"/>
          <w:sz w:val="24"/>
          <w:szCs w:val="24"/>
        </w:rPr>
        <w:t>. Не допускается вносить в описи данные об остатках ценностей со слов материально ответственных лиц или по данным учета без проверки их фактического наличия.</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Товарно-материальные ценности, поступающие (отпущенные) во время проведения инвентаризации, принимаются (отпускаются) материально ответственными лицами в присутствии членов инвентаризационной комиссии и приходуются (списываются) после инвентаризации. Эти товарно-материальные ценности заносятся в отдельную опись под наименованием «Товарно-материальные ценности, поступившие (отпущенные) во время инвентаризации».</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Инвентаризация товарно-материальных ценностей, находящихся в пути, отгруженных, не оплаченных в срок покупателями, находящихся на складах других организаций, заключается в проверке обоснованности числящихся сумм на соответствующих счетах бухгалтерского учета.</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Инвентаризация денежных средств, находящихся на лицевом (расчетном) и валютном счетах, производится путем сверки остатков сумм, числящихся на соответствующих счетах по данным бухгалтерского учета, с данными выписок.</w:t>
      </w:r>
    </w:p>
    <w:p w:rsidR="006B3745" w:rsidRPr="0059488B" w:rsidRDefault="006B3745" w:rsidP="0059488B">
      <w:pPr>
        <w:jc w:val="both"/>
        <w:rPr>
          <w:rFonts w:ascii="Times New Roman" w:hAnsi="Times New Roman" w:cs="Times New Roman"/>
          <w:sz w:val="24"/>
          <w:szCs w:val="24"/>
        </w:rPr>
      </w:pP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5.1.5. В ходе инвентаризации бланков строгой отчетности проверяется фактическое наличие бланков по видам бланков с учетом их начальных и конечных номеров, а также по каждому месту хранения и материально ответственным лицам.</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6. Порядок проведения инвентаризации обязательств</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6.1. При инвентаризации обязательств проверяется обоснованность числящихся на счетах бухгалтерского учета кредиторской и дебиторской задолженностей, возникших при расчетах:</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 с бюджетом по налогам и сборам, иным обязательным платежам;</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 с поставщиками и покупателями по поставкам товаров (оказанием услуг, выполнением работ);</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 с работниками по заработной плате, социальным и иным выплатам, по выданным авансам, по депонированным суммам.</w:t>
      </w:r>
    </w:p>
    <w:p w:rsidR="006B3745" w:rsidRPr="0059488B" w:rsidRDefault="006B3745" w:rsidP="0059488B">
      <w:pPr>
        <w:jc w:val="both"/>
        <w:rPr>
          <w:rFonts w:ascii="Times New Roman" w:hAnsi="Times New Roman" w:cs="Times New Roman"/>
          <w:sz w:val="24"/>
          <w:szCs w:val="24"/>
        </w:rPr>
      </w:pP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Инвентаризационная комиссия путем документальной проверки должна также установить:</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lastRenderedPageBreak/>
        <w:t>– правильность расчетов с налоговыми органами, внебюджетными фондами, другими организациями, а также со структурными подразделениями организации, имеющими отдельные балансы;</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 правильность и обоснованность числящейся в бухгалтерском учете суммы задолженности по недостачам и хищениям;</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 правильность и обоснованность сумм дебиторской, кредиторской и депонентской задолженностей, включая суммы дебиторской и кредиторской задолженностей, по которым истекли сроки исковой давности.</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6.2. В ходе инвентаризации расчетов с бюджетом, внебюджетными фондами, с поставщиками и покупателями проверяются акты сверки расчетов, суммы выплаченных авансов, а также начисленные и уплаченные суммы согласно налоговым декларациям, иным отчетным формам и платежным документам.</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6.3. При проверке расчетов с работниками Учреждения выявляются невыплаченные суммы по оплате труда, подлежащие перечислению на счет депонентов, а также суммы и причины возникновения переплат работникам.</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7. Результаты инвентаризации</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7.1. По итогам проведенной инвентаризации могут быть выявлены следующие расхождения фактического наличия финансовых и нефинансовых активов с данными бухгалтерского учета:</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 излишки;</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 недостачи.</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Эти расхождения обобщаются и заносятся в ведомость расхождений по результатам инвентаризации.</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Выявленные излишки (неучтенные объекты) в ведомости отображаются в количественном и суммовом выражении (по оценочной стоимости).</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На основании ведомости оформляется акт о результатах инвентаризации.</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7.2. Основные средства, товарно-материальные ценности, денежные средства и другое имущество, оказавшиеся в излишке, подлежат оприходованию и относятся на увеличение финансового результата Учреждения с последующим установлением причин возникновения излишка и виновных лиц.</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7.3. Убыль ценностей в пределах норм, утвержденных в установленном законодательством порядке, списывается по распоряжению руководителя Учреждения и относится на уменьшение финансового результата Учреждения. Нормы убыли могут применяться лишь в случаях выявления фактических недостач.</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 xml:space="preserve">7.4. Недостачи материальных ценностей, денежных средств и другого имущества, а также порча сверх норм естественной убыли относятся на виновных лиц. В тех случаях, когда виновники не установлены или во взыскании с виновных лиц отказано судом, убытки от </w:t>
      </w:r>
      <w:r w:rsidRPr="0059488B">
        <w:rPr>
          <w:rFonts w:ascii="Times New Roman" w:hAnsi="Times New Roman" w:cs="Times New Roman"/>
          <w:sz w:val="24"/>
          <w:szCs w:val="24"/>
        </w:rPr>
        <w:lastRenderedPageBreak/>
        <w:t>недостач и порчи списываются и относятся на уменьшение финансового результата Учреждения.</w:t>
      </w:r>
    </w:p>
    <w:p w:rsidR="006B3745"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7.5. Предложения о регулировании выявленных при инвентаризации расхождений фактического наличия ценностей и данных бухгалтерского учета представляются на рассмотрение руководителю Учреждения. Им принимается окончательное решение о зачете таких расхождений.</w:t>
      </w:r>
    </w:p>
    <w:p w:rsidR="0020769D" w:rsidRPr="0059488B" w:rsidRDefault="006B3745" w:rsidP="0059488B">
      <w:pPr>
        <w:jc w:val="both"/>
        <w:rPr>
          <w:rFonts w:ascii="Times New Roman" w:hAnsi="Times New Roman" w:cs="Times New Roman"/>
          <w:sz w:val="24"/>
          <w:szCs w:val="24"/>
        </w:rPr>
      </w:pPr>
      <w:r w:rsidRPr="0059488B">
        <w:rPr>
          <w:rFonts w:ascii="Times New Roman" w:hAnsi="Times New Roman" w:cs="Times New Roman"/>
          <w:sz w:val="24"/>
          <w:szCs w:val="24"/>
        </w:rPr>
        <w:t>7.6. Выявленные при инвентаризации расхождения между фактическим наличием объектов и данными регистров бухгалтерского учета отражаются в бухгалтерском учете в том отчетном периоде, к которому относится дата, по состоянию на которую проводилась инвентаризация.</w:t>
      </w:r>
    </w:p>
    <w:sectPr w:rsidR="0020769D" w:rsidRPr="00594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40"/>
    <w:rsid w:val="00092898"/>
    <w:rsid w:val="001D4143"/>
    <w:rsid w:val="0020769D"/>
    <w:rsid w:val="004D088E"/>
    <w:rsid w:val="0059488B"/>
    <w:rsid w:val="006B3745"/>
    <w:rsid w:val="008F7540"/>
    <w:rsid w:val="00952532"/>
    <w:rsid w:val="009A14EB"/>
    <w:rsid w:val="00EE0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308D"/>
  <w15:chartTrackingRefBased/>
  <w15:docId w15:val="{40D1AA1A-D44E-4D0B-851F-CB20AE88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14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D4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vT7oiUTZkX8/vS0HghWvX1/w/gv/DhMd03rbov02Nis=</DigestValue>
    </Reference>
    <Reference Type="http://www.w3.org/2000/09/xmldsig#Object" URI="#idOfficeObject">
      <DigestMethod Algorithm="urn:ietf:params:xml:ns:cpxmlsec:algorithms:gostr34112012-256"/>
      <DigestValue>B5lgBCHy2/8+qGdFDdyKkWVGnVUELx+5wKD/FzaaGlY=</DigestValue>
    </Reference>
    <Reference Type="http://uri.etsi.org/01903#SignedProperties" URI="#idSignedProperties">
      <Transforms>
        <Transform Algorithm="http://www.w3.org/TR/2001/REC-xml-c14n-20010315"/>
      </Transforms>
      <DigestMethod Algorithm="urn:ietf:params:xml:ns:cpxmlsec:algorithms:gostr34112012-256"/>
      <DigestValue>V4S/IIi4gvgp6E5YGTqd91cn3Oqv4ytuAlTysW3iVLo=</DigestValue>
    </Reference>
  </SignedInfo>
  <SignatureValue>nIhMwRs4U8IZq46mSO+kekbFxWi629Eyz3GVMuhFZXKhbMy+IDBR/KVlsQmORX5O
HCxFJer0ZOCtRfIOSgqGMA==</SignatureValue>
  <KeyInfo>
    <X509Data>
      <X509Certificate>MIIKTTCCCfigAwIBAgIQAdb50im3hjAAAAAHLEsAAjAMBggqhQMHAQEDAgUAMIIB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TMbnmiP8PKUDPmsnwy3kaVae0Js=</DigestValue>
      </Reference>
      <Reference URI="/word/fontTable.xml?ContentType=application/vnd.openxmlformats-officedocument.wordprocessingml.fontTable+xml">
        <DigestMethod Algorithm="http://www.w3.org/2000/09/xmldsig#sha1"/>
        <DigestValue>jj5MO2UYt2y3cKpXv8PSRsSFgTk=</DigestValue>
      </Reference>
      <Reference URI="/word/settings.xml?ContentType=application/vnd.openxmlformats-officedocument.wordprocessingml.settings+xml">
        <DigestMethod Algorithm="http://www.w3.org/2000/09/xmldsig#sha1"/>
        <DigestValue>/TnSVax32v1Ep+LhtMhJLcjkCLc=</DigestValue>
      </Reference>
      <Reference URI="/word/styles.xml?ContentType=application/vnd.openxmlformats-officedocument.wordprocessingml.styles+xml">
        <DigestMethod Algorithm="http://www.w3.org/2000/09/xmldsig#sha1"/>
        <DigestValue>uSE3sUDi7dJ6lGxNhtTCgYL3sDw=</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2021-05-20T22:34:30Z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2021-05-20T22:34:30Z</xd:SigningTime>
          <xd:SigningCertificate>
            <xd:Cert>
              <xd:CertDigest>
                <DigestMethod Algorithm="http://www.w3.org/2000/09/xmldsig#sha1"/>
                <DigestValue>osWOyUMYY9ToQvs9yDRLp7Fjc0E=</DigestValue>
              </xd:CertDigest>
              <xd:IssuerSerial>
                <X509IssuerName>CN="ООО ""АСТРАЛ-М""", O="ООО ""АСТРАЛ-М""", E=ca@astralm.ru, S=77 г. Москва, L=г. Москва, C=RU, ИНН=007720623379, STREET=Шоссе Энтузиастов д. 56 стр.32 офис 214, ОГРН=1087746806311</X509IssuerName>
                <X509SerialNumber>2445446494327558757072835842545483778</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29</TotalTime>
  <Pages>8</Pages>
  <Words>2773</Words>
  <Characters>15810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Бухгалтер</cp:lastModifiedBy>
  <cp:revision>9</cp:revision>
  <cp:lastPrinted>2021-05-16T23:43:00Z</cp:lastPrinted>
  <dcterms:created xsi:type="dcterms:W3CDTF">2021-05-16T10:43:00Z</dcterms:created>
  <dcterms:modified xsi:type="dcterms:W3CDTF">2021-05-20T06:15:00Z</dcterms:modified>
</cp:coreProperties>
</file>